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8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8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8</w:t>
      </w:r>
      <w:r>
        <w:rPr>
          <w:rFonts w:ascii="Times New Roman" w:hAnsi="Times New Roman"/>
          <w:caps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58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14:ligatures w14:val="none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любые лица</w:t>
      </w:r>
      <w:r>
        <w:rPr>
          <w:rFonts w:ascii="Times New Roman" w:hAnsi="Times New Roman"/>
          <w:sz w:val="24"/>
          <w:szCs w:val="24"/>
          <w14:ligatures w14:val="none"/>
        </w:rPr>
      </w:r>
      <w:r>
        <w:rPr>
          <w:rFonts w:ascii="Times New Roman" w:hAnsi="Times New Roman"/>
          <w:sz w:val="24"/>
          <w:szCs w:val="24"/>
          <w14:ligatures w14:val="none"/>
        </w:rPr>
      </w:r>
    </w:p>
    <w:p>
      <w:pPr>
        <w:spacing w:line="240" w:lineRule="auto"/>
      </w:pPr>
      <w:r/>
      <w:r/>
    </w:p>
    <w:p>
      <w:pPr>
        <w:pStyle w:val="1038"/>
        <w:numPr>
          <w:ilvl w:val="0"/>
          <w:numId w:val="4"/>
        </w:numPr>
        <w:ind w:left="0" w:firstLine="709"/>
        <w:rPr>
          <w:b/>
          <w:bCs/>
          <w:sz w:val="24"/>
          <w:szCs w:val="24"/>
          <w:highlight w:val="white"/>
          <w14:ligatures w14:val="none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Организатором, </w:t>
      </w:r>
      <w:r>
        <w:rPr>
          <w:sz w:val="24"/>
          <w:szCs w:val="24"/>
        </w:rPr>
        <w:t xml:space="preserve">ПАО «Россети Урал»</w:t>
      </w:r>
      <w:r>
        <w:rPr>
          <w:sz w:val="24"/>
          <w:szCs w:val="24"/>
        </w:rPr>
        <w:t xml:space="preserve"> (мест</w:t>
      </w:r>
      <w:r>
        <w:rPr>
          <w:sz w:val="24"/>
          <w:szCs w:val="24"/>
        </w:rPr>
        <w:t xml:space="preserve">о нахождения и почтовый адрес: 620026, г. Екатеринбург, ул. Мамина-Сибиряка, 140), настоящим приглашает к уч</w:t>
      </w:r>
      <w:r>
        <w:rPr>
          <w:sz w:val="24"/>
          <w:szCs w:val="24"/>
          <w:highlight w:val="white"/>
        </w:rPr>
        <w:t xml:space="preserve">астию в сравнении цен в электронной форме (далее – закупка, сравнение цен), </w:t>
      </w:r>
      <w:r>
        <w:rPr>
          <w:sz w:val="24"/>
          <w:szCs w:val="24"/>
          <w:highlight w:val="white"/>
        </w:rPr>
        <w:t xml:space="preserve"> юридических, физических лиц, в том числе индивидуальных предпринимателей (далее – Участников),</w:t>
      </w:r>
      <w:r>
        <w:rPr>
          <w:b/>
          <w:sz w:val="24"/>
          <w:szCs w:val="24"/>
          <w:highlight w:val="white"/>
        </w:rPr>
        <w:t xml:space="preserve"> 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</w:t>
      </w:r>
      <w:r>
        <w:rPr>
          <w:b/>
          <w:bCs/>
          <w:sz w:val="24"/>
          <w:szCs w:val="24"/>
          <w:highlight w:val="white"/>
        </w:rPr>
        <w:t xml:space="preserve"> и</w:t>
      </w:r>
      <w:r>
        <w:rPr>
          <w:b/>
          <w:bCs/>
          <w:sz w:val="24"/>
          <w:szCs w:val="24"/>
          <w:highlight w:val="white"/>
        </w:rPr>
        <w:t xml:space="preserve">ностранным влиянием"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  <w14:ligatures w14:val="non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pStyle w:val="1038"/>
        <w:numPr>
          <w:ilvl w:val="0"/>
          <w:numId w:val="4"/>
        </w:numPr>
        <w:ind w:left="0" w:firstLine="709"/>
        <w:rPr>
          <w:b/>
          <w:bCs/>
          <w:sz w:val="24"/>
          <w:szCs w:val="24"/>
          <w:highlight w:val="white"/>
          <w14:ligatures w14:val="none"/>
        </w:rPr>
      </w:pPr>
      <w:r>
        <w:rPr>
          <w:b/>
          <w:bCs/>
          <w:sz w:val="24"/>
          <w:szCs w:val="24"/>
          <w:highlight w:val="white"/>
        </w:rPr>
      </w:r>
      <w:bookmarkStart w:id="3" w:name="_Ref303676772"/>
      <w:r>
        <w:rPr>
          <w:b/>
          <w:bCs/>
          <w:sz w:val="24"/>
          <w:szCs w:val="24"/>
          <w:highlight w:val="white"/>
        </w:rPr>
        <w:t xml:space="preserve">Предмет </w:t>
      </w:r>
      <w:r>
        <w:rPr>
          <w:b/>
          <w:bCs/>
          <w:sz w:val="24"/>
          <w:szCs w:val="24"/>
          <w:highlight w:val="white"/>
        </w:rPr>
        <w:t xml:space="preserve">з</w:t>
      </w:r>
      <w:r>
        <w:rPr>
          <w:b/>
          <w:bCs/>
          <w:sz w:val="24"/>
          <w:szCs w:val="24"/>
          <w:highlight w:val="white"/>
        </w:rPr>
        <w:t xml:space="preserve">акупки</w:t>
      </w:r>
      <w:bookmarkEnd w:id="3"/>
      <w:r>
        <w:rPr>
          <w:b/>
          <w:bCs/>
          <w:sz w:val="24"/>
          <w:szCs w:val="24"/>
          <w:highlight w:val="white"/>
        </w:rPr>
        <w:t xml:space="preserve">: Право заключения догово</w:t>
      </w:r>
      <w:r>
        <w:rPr>
          <w:b/>
          <w:bCs/>
          <w:sz w:val="24"/>
          <w:szCs w:val="24"/>
          <w:highlight w:val="white"/>
        </w:rPr>
        <w:t xml:space="preserve">ра</w:t>
      </w:r>
      <w:r>
        <w:rPr>
          <w:b/>
          <w:bCs/>
          <w:sz w:val="24"/>
          <w:szCs w:val="24"/>
          <w:highlight w:val="white"/>
        </w:rPr>
        <w:t xml:space="preserve"> </w:t>
      </w:r>
      <w:r>
        <w:rPr>
          <w:b/>
          <w:bCs/>
          <w:sz w:val="24"/>
          <w:szCs w:val="24"/>
          <w:highlight w:val="white"/>
        </w:rPr>
        <w:t xml:space="preserve">на </w:t>
      </w:r>
      <w:r>
        <w:rPr>
          <w:b/>
          <w:bCs/>
          <w:sz w:val="24"/>
          <w:szCs w:val="24"/>
          <w:highlight w:val="white"/>
        </w:rPr>
        <w:t xml:space="preserve">оказание услуг по р</w:t>
      </w:r>
      <w:r>
        <w:rPr>
          <w:b/>
          <w:bCs/>
          <w:sz w:val="24"/>
          <w:szCs w:val="24"/>
          <w:highlight w:val="white"/>
        </w:rPr>
        <w:t xml:space="preserve">азмещению рекламно-информационных материалов на тему «Электробезопасность» в региональной вкладке федерального печатного издания объемом 4 полосы формата А3 в цвете, а так же разработке и размещению интерактивных игр на тему «Электробезопасность» на сайте</w:t>
      </w:r>
      <w:r>
        <w:rPr>
          <w:b/>
          <w:bCs/>
          <w:sz w:val="24"/>
          <w:szCs w:val="24"/>
          <w:highlight w:val="white"/>
        </w:rPr>
        <w:t xml:space="preserve"> данного издания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  <w14:ligatures w14:val="non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trike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  <w:highlight w:val="white"/>
        </w:rPr>
        <w:t xml:space="preserve">опубликовано: </w:t>
      </w:r>
      <w:r>
        <w:rPr>
          <w:sz w:val="24"/>
          <w:szCs w:val="24"/>
          <w:highlight w:val="white"/>
        </w:rPr>
        <w:t xml:space="preserve">на сайте </w:t>
      </w:r>
      <w:r>
        <w:rPr>
          <w:sz w:val="24"/>
          <w:szCs w:val="24"/>
          <w:highlight w:val="white"/>
        </w:rPr>
        <w:t xml:space="preserve">электронной торговой площадки</w:t>
      </w:r>
      <w:r>
        <w:rPr>
          <w:sz w:val="24"/>
          <w:szCs w:val="24"/>
          <w:highlight w:val="white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highlight w:val="white"/>
          <w:u w:val="single"/>
        </w:rPr>
        <w:t xml:space="preserve">https://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tender</w:t>
      </w:r>
      <w:r>
        <w:rPr>
          <w:b/>
          <w:color w:val="0000ff"/>
          <w:sz w:val="24"/>
          <w:highlight w:val="white"/>
          <w:u w:val="single"/>
        </w:rPr>
        <w:t xml:space="preserve">.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lot</w:t>
      </w:r>
      <w:r>
        <w:rPr>
          <w:b/>
          <w:color w:val="0000ff"/>
          <w:sz w:val="24"/>
          <w:highlight w:val="white"/>
          <w:u w:val="single"/>
        </w:rPr>
        <w:t xml:space="preserve">-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online</w:t>
      </w:r>
      <w:r>
        <w:rPr>
          <w:b/>
          <w:color w:val="0000ff"/>
          <w:sz w:val="24"/>
          <w:highlight w:val="white"/>
          <w:u w:val="single"/>
        </w:rPr>
        <w:t xml:space="preserve">.</w:t>
      </w:r>
      <w:r>
        <w:rPr>
          <w:b/>
          <w:color w:val="0000ff"/>
          <w:sz w:val="24"/>
          <w:highlight w:val="white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</w:t>
      </w:r>
      <w:r>
        <w:rPr>
          <w:b/>
          <w:sz w:val="24"/>
          <w:szCs w:val="24"/>
          <w:highlight w:val="white"/>
        </w:rPr>
        <w:t xml:space="preserve">извещение №_</w:t>
      </w:r>
      <w:r>
        <w:rPr>
          <w:rFonts w:ascii="Arial" w:hAnsi="Arial" w:eastAsia="Arial" w:cs="Arial"/>
          <w:color w:val="000000"/>
          <w:sz w:val="20"/>
          <w:highlight w:val="white"/>
        </w:rPr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RAD260043604</w:t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</w:t>
      </w:r>
      <w:r>
        <w:rPr>
          <w:b/>
          <w:sz w:val="24"/>
          <w:szCs w:val="24"/>
          <w:highlight w:val="white"/>
        </w:rPr>
        <w:t xml:space="preserve">т</w:t>
      </w:r>
      <w:r>
        <w:rPr>
          <w:sz w:val="24"/>
          <w:szCs w:val="24"/>
          <w:highlight w:val="white"/>
        </w:rPr>
        <w:t xml:space="preserve"> </w:t>
      </w:r>
      <w:r>
        <w:rPr>
          <w:b/>
          <w:bCs/>
          <w:sz w:val="24"/>
          <w:szCs w:val="24"/>
          <w:highlight w:val="white"/>
        </w:rPr>
        <w:t xml:space="preserve">03.09</w:t>
      </w:r>
      <w:r>
        <w:rPr>
          <w:b/>
          <w:bCs/>
          <w:sz w:val="24"/>
          <w:szCs w:val="24"/>
          <w:highlight w:val="white"/>
        </w:rPr>
        <w:t xml:space="preserve">.2</w:t>
      </w:r>
      <w:r>
        <w:rPr>
          <w:b/>
          <w:bCs/>
          <w:sz w:val="24"/>
          <w:szCs w:val="24"/>
          <w:highlight w:val="white"/>
        </w:rPr>
        <w:t xml:space="preserve">0</w:t>
      </w:r>
      <w:r>
        <w:rPr>
          <w:b/>
          <w:sz w:val="24"/>
          <w:szCs w:val="24"/>
          <w:highlight w:val="white"/>
        </w:rPr>
        <w:t xml:space="preserve">26 г.</w:t>
      </w:r>
      <w:r>
        <w:rPr>
          <w:sz w:val="24"/>
          <w:szCs w:val="24"/>
          <w:highlight w:val="white"/>
        </w:rPr>
        <w:t xml:space="preserve">) </w:t>
      </w:r>
      <w:r>
        <w:rPr>
          <w:b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  <w:highlight w:val="white"/>
        </w:rPr>
        <w:t xml:space="preserve">.</w:t>
      </w:r>
      <w:r>
        <w:rPr>
          <w:strike/>
          <w:sz w:val="24"/>
          <w:szCs w:val="24"/>
          <w:highlight w:val="white"/>
        </w:rPr>
      </w:r>
      <w:r>
        <w:rPr>
          <w:strike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trike/>
          <w:sz w:val="24"/>
          <w:szCs w:val="24"/>
        </w:rPr>
      </w:pPr>
      <w:r>
        <w:rPr>
          <w:sz w:val="24"/>
          <w:szCs w:val="24"/>
          <w:highlight w:val="white"/>
        </w:rPr>
        <w:t xml:space="preserve">Сравнение</w:t>
      </w:r>
      <w:r>
        <w:rPr>
          <w:color w:val="000000"/>
          <w:sz w:val="24"/>
          <w:szCs w:val="24"/>
          <w:highlight w:val="white"/>
        </w:rPr>
        <w:t xml:space="preserve"> цен проводится на ЭТП </w:t>
      </w:r>
      <w:r>
        <w:rPr>
          <w:sz w:val="24"/>
          <w:szCs w:val="24"/>
          <w:highlight w:val="white"/>
        </w:rPr>
        <w:t xml:space="preserve">с использованием ее функ</w:t>
      </w:r>
      <w:r>
        <w:rPr>
          <w:sz w:val="24"/>
          <w:szCs w:val="24"/>
          <w:highlight w:val="white"/>
        </w:rPr>
        <w:t xml:space="preserve">ционала</w:t>
      </w:r>
      <w:r>
        <w:rPr>
          <w:color w:val="000000"/>
          <w:sz w:val="24"/>
          <w:szCs w:val="24"/>
          <w:highlight w:val="white"/>
        </w:rPr>
        <w:t xml:space="preserve">. </w:t>
      </w:r>
      <w:r>
        <w:rPr>
          <w:color w:val="000000"/>
          <w:sz w:val="24"/>
          <w:szCs w:val="24"/>
          <w:highlight w:val="white"/>
        </w:rPr>
        <w:t xml:space="preserve">Подробное описание закупаемых товаров, работ, услуг</w:t>
      </w:r>
      <w:r>
        <w:rPr>
          <w:sz w:val="24"/>
          <w:szCs w:val="24"/>
          <w:highlight w:val="white"/>
        </w:rPr>
        <w:t xml:space="preserve"> и </w:t>
      </w:r>
      <w:r>
        <w:rPr>
          <w:sz w:val="24"/>
          <w:szCs w:val="24"/>
          <w:highlight w:val="white"/>
        </w:rPr>
        <w:t xml:space="preserve">условий Договора, в том числе наличие требований по обеспечению исполнения обязательств </w:t>
      </w:r>
      <w:r>
        <w:rPr>
          <w:sz w:val="24"/>
          <w:szCs w:val="24"/>
          <w:highlight w:val="white"/>
        </w:rPr>
        <w:t xml:space="preserve">договора ,содерж</w:t>
      </w:r>
      <w:r>
        <w:rPr>
          <w:sz w:val="24"/>
          <w:szCs w:val="24"/>
        </w:rPr>
        <w:t xml:space="preserve">ится</w:t>
      </w:r>
      <w:r>
        <w:rPr>
          <w:sz w:val="24"/>
          <w:szCs w:val="24"/>
        </w:rPr>
        <w:t xml:space="preserve"> в Техническо</w:t>
      </w:r>
      <w:r>
        <w:rPr>
          <w:color w:val="000000"/>
          <w:sz w:val="24"/>
          <w:szCs w:val="24"/>
        </w:rPr>
        <w:t xml:space="preserve">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Начальная</w:t>
      </w:r>
      <w:r>
        <w:rPr>
          <w:color w:val="000000"/>
          <w:sz w:val="24"/>
          <w:szCs w:val="24"/>
          <w:highlight w:val="white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376 654,66 </w:t>
      </w:r>
      <w:r>
        <w:rPr>
          <w:b/>
          <w:color w:val="000000"/>
          <w:sz w:val="24"/>
          <w:szCs w:val="24"/>
          <w:highlight w:val="white"/>
        </w:rPr>
        <w:t xml:space="preserve">руб. с НДС</w:t>
      </w:r>
      <w:r>
        <w:rPr>
          <w:color w:val="000000"/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  <w:t xml:space="preserve">В цену лота включены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затраты, накладные расходы, налоги, пошлины, таможенные платежи, </w:t>
      </w:r>
      <w:r>
        <w:rPr>
          <w:sz w:val="24"/>
          <w:szCs w:val="24"/>
          <w:highlight w:val="white"/>
        </w:rPr>
        <w:t xml:space="preserve">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white"/>
        </w:rPr>
        <w:t xml:space="preserve">Обоснование цены договора, единицы каждого товара</w:t>
      </w:r>
      <w:r>
        <w:rPr>
          <w:color w:val="000000"/>
          <w:sz w:val="24"/>
          <w:szCs w:val="24"/>
          <w:highlight w:val="white"/>
        </w:rPr>
        <w:t xml:space="preserve">, работы</w:t>
      </w:r>
      <w:r>
        <w:rPr>
          <w:color w:val="000000"/>
          <w:sz w:val="24"/>
          <w:szCs w:val="24"/>
          <w:highlight w:val="white"/>
        </w:rPr>
        <w:t xml:space="preserve">, </w:t>
      </w:r>
      <w:r>
        <w:rPr>
          <w:color w:val="000000"/>
          <w:sz w:val="24"/>
          <w:szCs w:val="24"/>
          <w:highlight w:val="white"/>
        </w:rPr>
        <w:t xml:space="preserve">услуги  установлены</w:t>
      </w:r>
      <w:r>
        <w:rPr>
          <w:color w:val="000000"/>
          <w:sz w:val="24"/>
          <w:szCs w:val="24"/>
          <w:highlight w:val="white"/>
        </w:rPr>
        <w:t xml:space="preserve"> в Приложении №2 к </w:t>
      </w:r>
      <w:r>
        <w:rPr>
          <w:color w:val="000000"/>
          <w:sz w:val="24"/>
          <w:szCs w:val="24"/>
          <w:highlight w:val="white"/>
        </w:rPr>
        <w:t xml:space="preserve">Приглашению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подаче заявки на ЭТП участник должен ука</w:t>
      </w:r>
      <w:r>
        <w:rPr>
          <w:sz w:val="24"/>
          <w:szCs w:val="24"/>
        </w:rPr>
        <w:t xml:space="preserve">зать сведения о цене заявки в соответствии с в</w:t>
      </w:r>
      <w:r>
        <w:rPr>
          <w:sz w:val="24"/>
          <w:szCs w:val="24"/>
        </w:rPr>
        <w:t xml:space="preserve">ыбранно</w:t>
      </w:r>
      <w:r>
        <w:rPr>
          <w:sz w:val="24"/>
          <w:szCs w:val="24"/>
          <w:highlight w:val="white"/>
        </w:rPr>
        <w:t xml:space="preserve">й им системой налогообложения. По вопросам заполнения форм в интерфейсе </w:t>
      </w:r>
      <w:r>
        <w:rPr>
          <w:sz w:val="24"/>
          <w:szCs w:val="24"/>
          <w:highlight w:val="white"/>
        </w:rPr>
        <w:t xml:space="preserve">ЭТП</w:t>
      </w:r>
      <w:r>
        <w:rPr>
          <w:sz w:val="24"/>
          <w:szCs w:val="24"/>
          <w:highlight w:val="white"/>
        </w:rPr>
        <w:t xml:space="preserve">, обращаться к регламент</w:t>
      </w:r>
      <w:r>
        <w:rPr>
          <w:sz w:val="24"/>
          <w:szCs w:val="24"/>
          <w:highlight w:val="white"/>
        </w:rPr>
        <w:t xml:space="preserve">у ЭТП, а также опе</w:t>
      </w:r>
      <w:r>
        <w:rPr>
          <w:sz w:val="24"/>
          <w:szCs w:val="24"/>
          <w:highlight w:val="white"/>
        </w:rPr>
        <w:t xml:space="preserve">ратору </w:t>
      </w:r>
      <w:r>
        <w:rPr>
          <w:sz w:val="24"/>
          <w:szCs w:val="24"/>
          <w:highlight w:val="white"/>
        </w:rPr>
        <w:t xml:space="preserve">ЭТП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Сведения о цене указываются участником в Приложении №1 к Приглашению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  <w:highlight w:val="white"/>
        </w:rPr>
        <w:t xml:space="preserve"> 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с момента заключения договора по </w:t>
      </w:r>
      <w:r>
        <w:rPr>
          <w:sz w:val="24"/>
          <w:szCs w:val="24"/>
        </w:rPr>
        <w:t xml:space="preserve">31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12</w:t>
      </w:r>
      <w:r>
        <w:rPr>
          <w:sz w:val="24"/>
          <w:szCs w:val="24"/>
        </w:rPr>
        <w:t xml:space="preserve">.20</w:t>
      </w: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 w:val="0"/>
          <w:bCs w:val="0"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b/>
          <w:color w:val="000000"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Россия, Челябинская область, г. Челябинск, пл. Революции, 5</w:t>
      </w:r>
      <w:r>
        <w:rPr>
          <w:b w:val="0"/>
          <w:bCs w:val="0"/>
          <w:sz w:val="24"/>
          <w:szCs w:val="24"/>
          <w:highlight w:val="white"/>
          <w:shd w:val="clear" w:color="auto" w:fill="ffff00"/>
        </w:rPr>
        <w:t xml:space="preserve">.</w:t>
      </w:r>
      <w:r>
        <w:rPr>
          <w:b w:val="0"/>
          <w:bCs w:val="0"/>
          <w:color w:val="000000"/>
          <w:sz w:val="24"/>
          <w:szCs w:val="24"/>
        </w:rPr>
      </w:r>
      <w:r>
        <w:rPr>
          <w:b w:val="0"/>
          <w:bCs w:val="0"/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</w:t>
      </w:r>
      <w:r>
        <w:rPr>
          <w:color w:val="000000"/>
          <w:sz w:val="24"/>
          <w:szCs w:val="24"/>
        </w:rPr>
        <w:t xml:space="preserve">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</w:t>
      </w:r>
      <w:r>
        <w:rPr>
          <w:color w:val="000000"/>
          <w:sz w:val="24"/>
          <w:szCs w:val="24"/>
        </w:rPr>
        <w:t xml:space="preserve"> товарам/</w:t>
      </w:r>
      <w:r>
        <w:rPr>
          <w:color w:val="000000"/>
          <w:sz w:val="24"/>
          <w:szCs w:val="24"/>
        </w:rPr>
        <w:t xml:space="preserve">выполняемы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поставленные товары/</w:t>
      </w:r>
      <w:r>
        <w:rPr>
          <w:sz w:val="24"/>
          <w:szCs w:val="24"/>
        </w:rPr>
        <w:t xml:space="preserve">выполненные работ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/оказанные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</w:t>
      </w:r>
      <w:r>
        <w:rPr>
          <w:sz w:val="24"/>
          <w:szCs w:val="24"/>
        </w:rPr>
        <w:t xml:space="preserve">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</w:rPr>
      </w:pPr>
      <w:r>
        <w:rPr>
          <w:sz w:val="24"/>
          <w:szCs w:val="24"/>
        </w:rPr>
      </w:r>
      <w:bookmarkStart w:id="4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</w:t>
      </w:r>
      <w:r>
        <w:rPr>
          <w:rFonts w:eastAsia="Calibri"/>
          <w:sz w:val="24"/>
          <w:szCs w:val="24"/>
          <w:lang w:eastAsia="en-US"/>
        </w:rPr>
        <w:t xml:space="preserve">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4"/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Заявка должна быть оформлена по форме</w:t>
      </w:r>
      <w:r>
        <w:rPr>
          <w:b/>
          <w:sz w:val="24"/>
          <w:szCs w:val="24"/>
        </w:rPr>
        <w:t xml:space="preserve">, приведенной в Приложении № 1 к н</w:t>
      </w:r>
      <w:r>
        <w:rPr>
          <w:b/>
          <w:sz w:val="24"/>
          <w:szCs w:val="24"/>
        </w:rPr>
        <w:t xml:space="preserve">астоящему Приглашению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(Заявка на участие в закупке способом сравнения цен в электронной форме)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и быть действительной не менее чем 90 календарных дней со дня,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</w:rPr>
        <w:t xml:space="preserve"> участниками, в соответствии с Пр</w:t>
      </w:r>
      <w:r>
        <w:rPr>
          <w:b/>
          <w:sz w:val="24"/>
          <w:szCs w:val="24"/>
        </w:rPr>
        <w:t xml:space="preserve">иложением №2 к </w:t>
      </w:r>
      <w:r>
        <w:rPr>
          <w:b/>
          <w:sz w:val="24"/>
          <w:szCs w:val="24"/>
        </w:rPr>
        <w:t xml:space="preserve">Приглашению</w:t>
      </w:r>
      <w:r>
        <w:rPr>
          <w:b/>
          <w:sz w:val="24"/>
          <w:szCs w:val="24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  <w:highlight w:val="white"/>
        </w:rPr>
        <w:t xml:space="preserve">ть выражены в российских рублях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  <w:highlight w:val="white"/>
        </w:rPr>
        <w:t xml:space="preserve">заявки </w:t>
      </w:r>
      <w:r>
        <w:rPr>
          <w:sz w:val="24"/>
          <w:szCs w:val="24"/>
          <w:highlight w:val="white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  <w:highlight w:val="white"/>
        </w:rPr>
        <w:t xml:space="preserve"> оказания услуг,</w:t>
      </w:r>
      <w:r>
        <w:rPr>
          <w:sz w:val="24"/>
          <w:szCs w:val="24"/>
          <w:highlight w:val="white"/>
        </w:rPr>
        <w:t xml:space="preserve"> поставке продукции и т.п. Частичное выполнение работ/услуг/поставок не </w:t>
      </w:r>
      <w:r>
        <w:rPr>
          <w:sz w:val="24"/>
          <w:szCs w:val="24"/>
          <w:highlight w:val="white"/>
        </w:rPr>
        <w:t xml:space="preserve">допускается.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Дата и время начала подачи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Заявок: с момента публикации </w:t>
      </w:r>
      <w:r>
        <w:rPr>
          <w:sz w:val="24"/>
          <w:szCs w:val="24"/>
          <w:highlight w:val="white"/>
        </w:rPr>
        <w:t xml:space="preserve">Приглашения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white"/>
        </w:rPr>
        <w:t xml:space="preserve">до 09.09</w:t>
      </w:r>
      <w:r>
        <w:rPr>
          <w:b/>
          <w:sz w:val="24"/>
          <w:szCs w:val="24"/>
          <w:highlight w:val="white"/>
        </w:rPr>
        <w:t xml:space="preserve">.2026 </w:t>
      </w:r>
      <w:r>
        <w:rPr>
          <w:b/>
          <w:sz w:val="24"/>
          <w:szCs w:val="24"/>
          <w:highlight w:val="white"/>
        </w:rPr>
        <w:t xml:space="preserve">г. </w:t>
      </w:r>
      <w:r>
        <w:rPr>
          <w:b/>
          <w:sz w:val="24"/>
          <w:szCs w:val="24"/>
          <w:highlight w:val="white"/>
        </w:rPr>
        <w:t xml:space="preserve">09</w:t>
      </w:r>
      <w:r>
        <w:rPr>
          <w:b/>
          <w:sz w:val="24"/>
          <w:szCs w:val="24"/>
          <w:highlight w:val="white"/>
        </w:rPr>
        <w:t xml:space="preserve">:00</w:t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(время московское)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Срок приема Заявок может быть, при необходимости, продлен Заказчиком.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  <w:highlight w:val="white"/>
        </w:rPr>
        <w:t xml:space="preserve">Заказчиком</w:t>
      </w:r>
      <w:r>
        <w:rPr>
          <w:sz w:val="24"/>
          <w:szCs w:val="24"/>
          <w:highlight w:val="white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25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025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 положения действующего законодательства, предусматривающие приоритет товаров российского происхождения, работ, услуг, выполняемых, оказываемых российскими лицами, по отношению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708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Отнесение участника закупки к иностранному агенту производится на основании информации, содержащейся в Реестре иностранных </w:t>
      </w:r>
      <w:r>
        <w:rPr>
          <w:sz w:val="24"/>
          <w:szCs w:val="24"/>
          <w:highlight w:val="white"/>
        </w:rPr>
        <w:t xml:space="preserve">агентов,  размещенном</w:t>
      </w:r>
      <w:r>
        <w:rPr>
          <w:sz w:val="24"/>
          <w:szCs w:val="24"/>
          <w:highlight w:val="white"/>
        </w:rPr>
        <w:t xml:space="preserve">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firstLine="0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non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течение </w:t>
      </w:r>
      <w:r>
        <w:rPr>
          <w:sz w:val="24"/>
          <w:szCs w:val="24"/>
          <w:highlight w:val="white"/>
        </w:rPr>
        <w:t xml:space="preserve">20 рабочих </w:t>
      </w:r>
      <w:r>
        <w:rPr>
          <w:sz w:val="24"/>
          <w:szCs w:val="24"/>
          <w:highlight w:val="white"/>
        </w:rPr>
        <w:t xml:space="preserve">дней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</w:t>
      </w:r>
      <w:r>
        <w:rPr>
          <w:sz w:val="24"/>
          <w:szCs w:val="24"/>
        </w:rPr>
        <w:t xml:space="preserve">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</w:t>
      </w:r>
      <w:r>
        <w:rPr>
          <w:b/>
          <w:sz w:val="24"/>
          <w:szCs w:val="24"/>
        </w:rPr>
        <w:t xml:space="preserve">я, и его действия (бездействия) означают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бенефициаров и т.п.</w:t>
      </w:r>
      <w:r>
        <w:rPr>
          <w:b/>
          <w:sz w:val="24"/>
          <w:szCs w:val="24"/>
        </w:rPr>
        <w:t xml:space="preserve">, а также Антикорруп</w:t>
      </w:r>
      <w:r>
        <w:rPr>
          <w:b/>
          <w:sz w:val="24"/>
          <w:szCs w:val="24"/>
          <w:highlight w:val="white"/>
        </w:rPr>
        <w:t xml:space="preserve">ционного обязательства.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Основания, порядок и последствия признания закупки несостоявшейся установлены Единым стандартом закупок ПАО Россети (Положение о закупке, Стандарт).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Для справок обращаться к </w:t>
      </w:r>
      <w:r>
        <w:rPr>
          <w:b/>
          <w:sz w:val="24"/>
          <w:szCs w:val="24"/>
          <w:highlight w:val="white"/>
        </w:rPr>
        <w:t xml:space="preserve">секретарю </w:t>
      </w:r>
      <w:r>
        <w:rPr>
          <w:sz w:val="24"/>
          <w:szCs w:val="24"/>
          <w:highlight w:val="white"/>
        </w:rPr>
        <w:t xml:space="preserve">– Л</w:t>
      </w:r>
      <w:r>
        <w:rPr>
          <w:b/>
          <w:sz w:val="24"/>
          <w:szCs w:val="24"/>
        </w:rPr>
        <w:t xml:space="preserve">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985"/>
          <w:b/>
          <w:bCs/>
          <w:sz w:val="24"/>
          <w:szCs w:val="24"/>
        </w:rPr>
        <w:t xml:space="preserve"> </w:t>
      </w:r>
      <w:r>
        <w:rPr>
          <w:rStyle w:val="985"/>
          <w:b/>
          <w:bCs/>
          <w:sz w:val="24"/>
          <w:szCs w:val="24"/>
        </w:rPr>
        <w:t xml:space="preserve">L</w:t>
      </w:r>
      <w:r>
        <w:rPr>
          <w:rStyle w:val="985"/>
          <w:b/>
          <w:bCs/>
          <w:sz w:val="24"/>
          <w:szCs w:val="24"/>
        </w:rPr>
        <w:t xml:space="preserve">e</w:t>
      </w:r>
      <w:r>
        <w:rPr>
          <w:rStyle w:val="985"/>
          <w:b/>
          <w:bCs/>
          <w:sz w:val="24"/>
          <w:szCs w:val="24"/>
        </w:rPr>
        <w:t xml:space="preserve">b</w:t>
      </w:r>
      <w:r>
        <w:rPr>
          <w:rStyle w:val="985"/>
          <w:b/>
          <w:bCs/>
          <w:sz w:val="24"/>
          <w:szCs w:val="24"/>
        </w:rPr>
        <w:t xml:space="preserve">e</w:t>
      </w:r>
      <w:r>
        <w:rPr>
          <w:rStyle w:val="985"/>
          <w:b/>
          <w:bCs/>
          <w:sz w:val="24"/>
          <w:szCs w:val="24"/>
        </w:rPr>
        <w:t xml:space="preserve">d</w:t>
      </w:r>
      <w:r>
        <w:rPr>
          <w:rStyle w:val="985"/>
          <w:b/>
          <w:bCs/>
          <w:sz w:val="24"/>
          <w:szCs w:val="24"/>
        </w:rPr>
        <w:t xml:space="preserve">k</w:t>
      </w:r>
      <w:r>
        <w:rPr>
          <w:rStyle w:val="985"/>
          <w:b/>
          <w:bCs/>
          <w:sz w:val="24"/>
          <w:szCs w:val="24"/>
        </w:rPr>
        <w:t xml:space="preserve">i</w:t>
      </w:r>
      <w:r>
        <w:rPr>
          <w:rStyle w:val="985"/>
          <w:b/>
          <w:bCs/>
          <w:sz w:val="24"/>
          <w:szCs w:val="24"/>
        </w:rPr>
        <w:t xml:space="preserve">n</w:t>
      </w:r>
      <w:r>
        <w:rPr>
          <w:rStyle w:val="985"/>
          <w:b/>
          <w:bCs/>
          <w:sz w:val="24"/>
          <w:szCs w:val="24"/>
        </w:rPr>
        <w:t xml:space="preserve">a</w:t>
      </w:r>
      <w:r>
        <w:rPr>
          <w:rStyle w:val="985"/>
          <w:b/>
          <w:bCs/>
          <w:sz w:val="24"/>
          <w:szCs w:val="24"/>
        </w:rPr>
        <w:t xml:space="preserve">-</w:t>
      </w:r>
      <w:r>
        <w:rPr>
          <w:rStyle w:val="985"/>
          <w:b/>
          <w:bCs/>
          <w:sz w:val="24"/>
          <w:szCs w:val="24"/>
        </w:rPr>
        <w:t xml:space="preserve">A</w:t>
      </w:r>
      <w:r>
        <w:rPr>
          <w:rStyle w:val="985"/>
          <w:b/>
          <w:bCs/>
          <w:sz w:val="24"/>
          <w:szCs w:val="24"/>
        </w:rPr>
        <w:t xml:space="preserve">N</w:t>
      </w:r>
      <w:hyperlink r:id="rId14" w:tooltip="mailto:Lebedkina-AN@rosseti-ural.ru" w:history="1">
        <w:r>
          <w:rPr>
            <w:rStyle w:val="985"/>
            <w:b/>
            <w:sz w:val="24"/>
            <w:szCs w:val="24"/>
          </w:rPr>
          <w:t xml:space="preserve">@rosseti-ural.ru</w:t>
        </w:r>
        <w:r>
          <w:rPr>
            <w:rStyle w:val="985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5" w:tooltip="mailto:Ronzhin-AV@rosseti-ural.ru" w:history="1">
        <w:r>
          <w:rPr>
            <w:rStyle w:val="985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196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yellow"/>
        </w:rPr>
        <w:t xml:space="preserve">ЭТП</w:t>
      </w:r>
      <w:r>
        <w:rPr>
          <w:color w:val="000000" w:themeColor="text1"/>
          <w:sz w:val="24"/>
          <w:szCs w:val="24"/>
          <w:highlight w:val="yellow"/>
        </w:rPr>
        <w:t xml:space="preserve"> </w:t>
      </w:r>
      <w:hyperlink r:id="rId16" w:tooltip="https://tender.lot-online.ru" w:history="1">
        <w:r>
          <w:rPr>
            <w:rStyle w:val="985"/>
            <w:b/>
            <w:sz w:val="24"/>
            <w:highlight w:val="yellow"/>
          </w:rPr>
          <w:t xml:space="preserve">https://</w:t>
        </w:r>
        <w:r>
          <w:rPr>
            <w:rStyle w:val="985"/>
            <w:b/>
            <w:sz w:val="24"/>
            <w:highlight w:val="yellow"/>
            <w:lang w:val="en-US"/>
          </w:rPr>
          <w:t xml:space="preserve">tender</w:t>
        </w:r>
        <w:r>
          <w:rPr>
            <w:rStyle w:val="985"/>
            <w:b/>
            <w:sz w:val="24"/>
            <w:highlight w:val="yellow"/>
          </w:rPr>
          <w:t xml:space="preserve">.</w:t>
        </w:r>
        <w:r>
          <w:rPr>
            <w:rStyle w:val="985"/>
            <w:b/>
            <w:sz w:val="24"/>
            <w:highlight w:val="yellow"/>
            <w:lang w:val="en-US"/>
          </w:rPr>
          <w:t xml:space="preserve">lot</w:t>
        </w:r>
        <w:r>
          <w:rPr>
            <w:rStyle w:val="985"/>
            <w:b/>
            <w:sz w:val="24"/>
            <w:highlight w:val="yellow"/>
          </w:rPr>
          <w:t xml:space="preserve">-</w:t>
        </w:r>
        <w:r>
          <w:rPr>
            <w:rStyle w:val="985"/>
            <w:b/>
            <w:sz w:val="24"/>
            <w:highlight w:val="yellow"/>
            <w:lang w:val="en-US"/>
          </w:rPr>
          <w:t xml:space="preserve">online</w:t>
        </w:r>
        <w:r>
          <w:rPr>
            <w:rStyle w:val="985"/>
            <w:b/>
            <w:sz w:val="24"/>
            <w:highlight w:val="yellow"/>
          </w:rPr>
          <w:t xml:space="preserve">.</w:t>
        </w:r>
        <w:r>
          <w:rPr>
            <w:rStyle w:val="985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_____________________(</w:t>
      </w:r>
      <w:r>
        <w:rPr>
          <w:b/>
          <w:bCs/>
          <w:i/>
          <w:iCs/>
          <w:sz w:val="24"/>
          <w:szCs w:val="24"/>
        </w:rPr>
        <w:t xml:space="preserve">указывается предмет закупки</w:t>
      </w:r>
      <w:r>
        <w:rPr>
          <w:b/>
          <w:sz w:val="24"/>
          <w:szCs w:val="24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color w:val="000000" w:themeColor="text1"/>
          <w:sz w:val="24"/>
          <w:szCs w:val="24"/>
        </w:rPr>
        <w:t xml:space="preserve">(</w:t>
      </w:r>
      <w:r>
        <w:rPr>
          <w:rStyle w:val="1036"/>
        </w:rPr>
        <w:t xml:space="preserve">у</w:t>
      </w:r>
      <w:r>
        <w:rPr>
          <w:rStyle w:val="1036"/>
        </w:rPr>
        <w:t xml:space="preserve">казывается</w:t>
      </w:r>
      <w:r>
        <w:rPr>
          <w:rStyle w:val="1036"/>
        </w:rPr>
        <w:t xml:space="preserve"> </w:t>
      </w:r>
      <w:r>
        <w:rPr>
          <w:rStyle w:val="1036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036"/>
                <w:sz w:val="20"/>
                <w:szCs w:val="20"/>
              </w:rPr>
              <w:t xml:space="preserve">(</w:t>
            </w:r>
            <w:r>
              <w:rPr>
                <w:rStyle w:val="1036"/>
                <w:sz w:val="20"/>
                <w:szCs w:val="20"/>
              </w:rPr>
              <w:t xml:space="preserve">заполнить поле</w:t>
            </w:r>
            <w:r>
              <w:rPr>
                <w:rStyle w:val="1036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036"/>
                <w:sz w:val="20"/>
                <w:szCs w:val="20"/>
              </w:rPr>
              <w:t xml:space="preserve">(</w:t>
            </w:r>
            <w:r>
              <w:rPr>
                <w:rStyle w:val="1036"/>
                <w:sz w:val="20"/>
                <w:szCs w:val="20"/>
              </w:rPr>
              <w:t xml:space="preserve">заполнить поле</w:t>
            </w:r>
            <w:r>
              <w:rPr>
                <w:rStyle w:val="1036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036"/>
                <w:sz w:val="20"/>
                <w:szCs w:val="20"/>
              </w:rPr>
              <w:t xml:space="preserve">(</w:t>
            </w:r>
            <w:r>
              <w:rPr>
                <w:rStyle w:val="1036"/>
                <w:sz w:val="20"/>
                <w:szCs w:val="20"/>
              </w:rPr>
              <w:t xml:space="preserve">заполнить поле</w:t>
            </w:r>
            <w:r>
              <w:rPr>
                <w:rStyle w:val="1036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размер НДС, в руб. 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размер ставки НДС, в %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</w:tbl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20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20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15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25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/>
      <w:bookmarkStart w:id="6" w:name="_GoBack"/>
      <w:r/>
      <w:bookmarkEnd w:id="6"/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white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  <w:highlight w:val="white"/>
              </w:rPr>
            </w:r>
            <w:r>
              <w:rPr>
                <w:b/>
                <w:color w:val="000000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highlight w:val="white"/>
              </w:rPr>
            </w:pPr>
            <w:r>
              <w:rPr>
                <w:i/>
                <w:color w:val="000000"/>
                <w:sz w:val="24"/>
                <w:szCs w:val="24"/>
                <w:highlight w:val="white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i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15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1.1.1.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1.1.2.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1.1.2.1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1.1.3.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1.1.3.1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1.2.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39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0" type="#_x0000_t75" style="width:619.95pt;height:438.55pt;mso-wrap-distance-left:0.00pt;mso-wrap-distance-top:0.00pt;mso-wrap-distance-right:0.00pt;mso-wrap-distance-bottom:0.00pt;z-index:1;" filled="f" stroked="f">
            <v:imagedata r:id="rId17" o:title=""/>
            <o:lock v:ext="edit" rotation="t"/>
          </v:shape>
          <o:OLEObject DrawAspect="Content" r:id="rId18" ObjectID="_1525040" ProgID="AcroExch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38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38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«Россети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компания-Россети» (ПАО «Россети»)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«Россети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(потенциальным контрагентом) / контрагентом </w:t>
      </w:r>
      <w:r>
        <w:rPr>
          <w:sz w:val="24"/>
          <w:szCs w:val="24"/>
        </w:rPr>
        <w:t xml:space="preserve">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«Россети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«Россети», </w:t>
      </w:r>
      <w:r>
        <w:rPr>
          <w:sz w:val="24"/>
          <w:szCs w:val="24"/>
        </w:rPr>
        <w:t xml:space="preserve">ПАО «Россети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</w:t>
      </w:r>
      <w:r>
        <w:rPr>
          <w:color w:val="000000"/>
          <w:sz w:val="24"/>
          <w:szCs w:val="24"/>
        </w:rPr>
        <w:t xml:space="preserve">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«Россети»/ДО ПАО «Россети»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</w:t>
      </w:r>
      <w:r>
        <w:rPr>
          <w:color w:val="000000"/>
          <w:sz w:val="24"/>
          <w:szCs w:val="24"/>
        </w:rPr>
        <w:t xml:space="preserve"> качестве участника ________________ (наименование закупочных процедур) для нужд ПАО «Россети»/ДО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«Россети» и дочерних обществ ПАО «Россети», утвержденной решением Совета директоров ПАО «Россети»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«Россети»/ДО ПАО «Россети»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«Россети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«Россети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«Россети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19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0" w:tooltip="https://www.mrsk-ural.ru/company/anticorruption/" w:history="1">
        <w:r>
          <w:rPr>
            <w:rStyle w:val="985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  <w:tabs>
          <w:tab w:val="left" w:pos="956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292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Symbol">
    <w:panose1 w:val="05050102010706020507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Wingdings">
    <w:panose1 w:val="0500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3"/>
      <w:jc w:val="right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8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3"/>
      <w:jc w:val="right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83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3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6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62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63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64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65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66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12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59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60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61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6"/>
  </w:num>
  <w:num w:numId="9">
    <w:abstractNumId w:val="14"/>
  </w:num>
  <w:num w:numId="10">
    <w:abstractNumId w:val="2"/>
  </w:num>
  <w:num w:numId="11">
    <w:abstractNumId w:val="19"/>
  </w:num>
  <w:num w:numId="12">
    <w:abstractNumId w:val="20"/>
  </w:num>
  <w:num w:numId="13">
    <w:abstractNumId w:val="4"/>
  </w:num>
  <w:num w:numId="14">
    <w:abstractNumId w:val="10"/>
  </w:num>
  <w:num w:numId="15">
    <w:abstractNumId w:val="6"/>
  </w:num>
  <w:num w:numId="16">
    <w:abstractNumId w:val="11"/>
  </w:num>
  <w:num w:numId="17">
    <w:abstractNumId w:val="12"/>
  </w:num>
  <w:num w:numId="18">
    <w:abstractNumId w:val="5"/>
  </w:num>
  <w:num w:numId="19">
    <w:abstractNumId w:val="18"/>
  </w:num>
  <w:num w:numId="20">
    <w:abstractNumId w:val="8"/>
  </w:num>
  <w:num w:numId="21">
    <w:abstractNumId w:val="21"/>
  </w:num>
  <w:num w:numId="22">
    <w:abstractNumId w:val="22"/>
  </w:num>
  <w:num w:numId="23">
    <w:abstractNumId w:val="13"/>
  </w:num>
  <w:num w:numId="24">
    <w:abstractNumId w:val="17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8">
    <w:name w:val="Heading 1 Char"/>
    <w:basedOn w:val="967"/>
    <w:link w:val="958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809">
    <w:name w:val="Heading 2 Char"/>
    <w:basedOn w:val="967"/>
    <w:link w:val="959"/>
    <w:uiPriority w:val="9"/>
    <w:rPr>
      <w:rFonts w:ascii="Liberation Sans" w:hAnsi="Liberation Sans" w:eastAsia="Liberation Sans" w:cs="Liberation Sans"/>
      <w:sz w:val="34"/>
    </w:rPr>
  </w:style>
  <w:style w:type="character" w:styleId="810">
    <w:name w:val="Heading 3 Char"/>
    <w:basedOn w:val="967"/>
    <w:link w:val="960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811">
    <w:name w:val="Heading 4 Char"/>
    <w:basedOn w:val="967"/>
    <w:link w:val="9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812">
    <w:name w:val="Heading 5 Char"/>
    <w:basedOn w:val="967"/>
    <w:link w:val="96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813">
    <w:name w:val="Heading 6 Char"/>
    <w:basedOn w:val="967"/>
    <w:link w:val="963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814">
    <w:name w:val="Heading 7 Char"/>
    <w:basedOn w:val="967"/>
    <w:link w:val="964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15">
    <w:name w:val="Heading 8 Char"/>
    <w:basedOn w:val="967"/>
    <w:link w:val="965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16">
    <w:name w:val="Heading 9 Char"/>
    <w:basedOn w:val="967"/>
    <w:link w:val="966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17">
    <w:name w:val="Title Char"/>
    <w:basedOn w:val="967"/>
    <w:link w:val="1029"/>
    <w:uiPriority w:val="10"/>
    <w:rPr>
      <w:sz w:val="48"/>
      <w:szCs w:val="48"/>
    </w:rPr>
  </w:style>
  <w:style w:type="paragraph" w:styleId="818">
    <w:name w:val="Subtitle"/>
    <w:basedOn w:val="957"/>
    <w:next w:val="957"/>
    <w:link w:val="819"/>
    <w:uiPriority w:val="11"/>
    <w:qFormat/>
    <w:pPr>
      <w:spacing w:before="200" w:after="200"/>
    </w:pPr>
    <w:rPr>
      <w:sz w:val="24"/>
      <w:szCs w:val="24"/>
    </w:rPr>
  </w:style>
  <w:style w:type="character" w:styleId="819">
    <w:name w:val="Subtitle Char"/>
    <w:basedOn w:val="967"/>
    <w:link w:val="818"/>
    <w:uiPriority w:val="11"/>
    <w:rPr>
      <w:sz w:val="24"/>
      <w:szCs w:val="24"/>
    </w:rPr>
  </w:style>
  <w:style w:type="paragraph" w:styleId="820">
    <w:name w:val="Quote"/>
    <w:basedOn w:val="957"/>
    <w:next w:val="957"/>
    <w:link w:val="821"/>
    <w:uiPriority w:val="29"/>
    <w:qFormat/>
    <w:pPr>
      <w:ind w:left="720" w:right="720"/>
    </w:pPr>
    <w:rPr>
      <w:i/>
    </w:rPr>
  </w:style>
  <w:style w:type="character" w:styleId="821">
    <w:name w:val="Quote Char"/>
    <w:link w:val="820"/>
    <w:uiPriority w:val="29"/>
    <w:rPr>
      <w:i/>
    </w:rPr>
  </w:style>
  <w:style w:type="paragraph" w:styleId="822">
    <w:name w:val="Intense Quote"/>
    <w:basedOn w:val="957"/>
    <w:next w:val="957"/>
    <w:link w:val="82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3">
    <w:name w:val="Intense Quote Char"/>
    <w:link w:val="822"/>
    <w:uiPriority w:val="30"/>
    <w:rPr>
      <w:i/>
    </w:rPr>
  </w:style>
  <w:style w:type="character" w:styleId="824">
    <w:name w:val="Header Char"/>
    <w:basedOn w:val="967"/>
    <w:link w:val="981"/>
    <w:uiPriority w:val="99"/>
  </w:style>
  <w:style w:type="character" w:styleId="825">
    <w:name w:val="Footer Char"/>
    <w:basedOn w:val="967"/>
    <w:link w:val="983"/>
    <w:uiPriority w:val="99"/>
  </w:style>
  <w:style w:type="character" w:styleId="826">
    <w:name w:val="Caption Char"/>
    <w:basedOn w:val="967"/>
    <w:link w:val="999"/>
    <w:uiPriority w:val="35"/>
    <w:rPr>
      <w:b/>
      <w:bCs/>
      <w:color w:val="4f81bd" w:themeColor="accent1"/>
      <w:sz w:val="18"/>
      <w:szCs w:val="18"/>
    </w:rPr>
  </w:style>
  <w:style w:type="table" w:styleId="827">
    <w:name w:val="Table Grid"/>
    <w:basedOn w:val="96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8">
    <w:name w:val="Table Grid Light"/>
    <w:basedOn w:val="9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9">
    <w:name w:val="Plain Table 1"/>
    <w:basedOn w:val="9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30">
    <w:name w:val="Plain Table 2"/>
    <w:basedOn w:val="96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31">
    <w:name w:val="Plain Table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2">
    <w:name w:val="Plain Table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Plain Table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4">
    <w:name w:val="Grid Table 1 Light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Grid Table 1 Light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2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4"/>
    <w:basedOn w:val="9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6">
    <w:name w:val="Grid Table 4 - Accent 1"/>
    <w:basedOn w:val="9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7">
    <w:name w:val="Grid Table 4 - Accent 2"/>
    <w:basedOn w:val="9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8">
    <w:name w:val="Grid Table 4 - Accent 3"/>
    <w:basedOn w:val="9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59">
    <w:name w:val="Grid Table 4 - Accent 4"/>
    <w:basedOn w:val="9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0">
    <w:name w:val="Grid Table 4 - Accent 5"/>
    <w:basedOn w:val="9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1">
    <w:name w:val="Grid Table 4 - Accent 6"/>
    <w:basedOn w:val="9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2">
    <w:name w:val="Grid Table 5 Dark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3">
    <w:name w:val="Grid Table 5 Dark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4">
    <w:name w:val="Grid Table 5 Dark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5">
    <w:name w:val="Grid Table 5 Dark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6">
    <w:name w:val="Grid Table 5 Dark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7">
    <w:name w:val="Grid Table 5 Dark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8">
    <w:name w:val="Grid Table 5 Dark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69">
    <w:name w:val="Grid Table 6 Colorful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70">
    <w:name w:val="Grid Table 6 Colorful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71">
    <w:name w:val="Grid Table 6 Colorful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72">
    <w:name w:val="Grid Table 6 Colorful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73">
    <w:name w:val="Grid Table 6 Colorful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74">
    <w:name w:val="Grid Table 6 Colorful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75">
    <w:name w:val="Grid Table 6 Colorful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76">
    <w:name w:val="Grid Table 7 Colorful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7 Colorful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List Table 1 Light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1">
    <w:name w:val="List Table 2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2">
    <w:name w:val="List Table 2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3">
    <w:name w:val="List Table 2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4">
    <w:name w:val="List Table 2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5">
    <w:name w:val="List Table 2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6">
    <w:name w:val="List Table 2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7">
    <w:name w:val="List Table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3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5 Dark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2">
    <w:name w:val="List Table 5 Dark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3">
    <w:name w:val="List Table 5 Dark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4">
    <w:name w:val="List Table 5 Dark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5">
    <w:name w:val="List Table 5 Dark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6">
    <w:name w:val="List Table 5 Dark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7">
    <w:name w:val="List Table 5 Dark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8">
    <w:name w:val="List Table 6 Colorful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19">
    <w:name w:val="List Table 6 Colorful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0">
    <w:name w:val="List Table 6 Colorful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1">
    <w:name w:val="List Table 6 Colorful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2">
    <w:name w:val="List Table 6 Colorful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3">
    <w:name w:val="List Table 6 Colorful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4">
    <w:name w:val="List Table 6 Colorful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5">
    <w:name w:val="List Table 7 Colorful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26">
    <w:name w:val="List Table 7 Colorful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927">
    <w:name w:val="List Table 7 Colorful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928">
    <w:name w:val="List Table 7 Colorful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929">
    <w:name w:val="List Table 7 Colorful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930">
    <w:name w:val="List Table 7 Colorful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931">
    <w:name w:val="List Table 7 Colorful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932">
    <w:name w:val="Lined - Accent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3">
    <w:name w:val="Lined - Accent 1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4">
    <w:name w:val="Lined - Accent 2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5">
    <w:name w:val="Lined - Accent 3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6">
    <w:name w:val="Lined - Accent 4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7">
    <w:name w:val="Lined - Accent 5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8">
    <w:name w:val="Lined - Accent 6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9">
    <w:name w:val="Bordered &amp; Lined - Accent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0">
    <w:name w:val="Bordered &amp; Lined - Accent 1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1">
    <w:name w:val="Bordered &amp; Lined - Accent 2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2">
    <w:name w:val="Bordered &amp; Lined - Accent 3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3">
    <w:name w:val="Bordered &amp; Lined - Accent 4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4">
    <w:name w:val="Bordered &amp; Lined - Accent 5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5">
    <w:name w:val="Bordered &amp; Lined - Accent 6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6">
    <w:name w:val="Bordered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7">
    <w:name w:val="Bordered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8">
    <w:name w:val="Bordered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49">
    <w:name w:val="Bordered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0">
    <w:name w:val="Bordered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1">
    <w:name w:val="Bordered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2">
    <w:name w:val="Bordered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3">
    <w:name w:val="Footnote Text Char"/>
    <w:link w:val="996"/>
    <w:uiPriority w:val="99"/>
    <w:rPr>
      <w:sz w:val="18"/>
    </w:rPr>
  </w:style>
  <w:style w:type="character" w:styleId="954">
    <w:name w:val="Endnote Text Char"/>
    <w:link w:val="1033"/>
    <w:uiPriority w:val="99"/>
    <w:rPr>
      <w:sz w:val="20"/>
    </w:rPr>
  </w:style>
  <w:style w:type="paragraph" w:styleId="955">
    <w:name w:val="TOC Heading"/>
    <w:uiPriority w:val="39"/>
    <w:unhideWhenUsed/>
  </w:style>
  <w:style w:type="paragraph" w:styleId="956">
    <w:name w:val="table of figures"/>
    <w:basedOn w:val="957"/>
    <w:next w:val="957"/>
    <w:uiPriority w:val="99"/>
    <w:unhideWhenUsed/>
    <w:pPr>
      <w:spacing w:after="0" w:afterAutospacing="0"/>
    </w:pPr>
  </w:style>
  <w:style w:type="paragraph" w:styleId="957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58">
    <w:name w:val="Heading 1"/>
    <w:basedOn w:val="957"/>
    <w:next w:val="957"/>
    <w:link w:val="970"/>
    <w:uiPriority w:val="9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59">
    <w:name w:val="Heading 2"/>
    <w:basedOn w:val="957"/>
    <w:next w:val="957"/>
    <w:link w:val="971"/>
    <w:uiPriority w:val="9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60">
    <w:name w:val="Heading 3"/>
    <w:basedOn w:val="957"/>
    <w:next w:val="957"/>
    <w:link w:val="972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61">
    <w:name w:val="Heading 4"/>
    <w:basedOn w:val="957"/>
    <w:next w:val="957"/>
    <w:link w:val="973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62">
    <w:name w:val="Heading 5"/>
    <w:basedOn w:val="957"/>
    <w:next w:val="957"/>
    <w:link w:val="974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63">
    <w:name w:val="Heading 6"/>
    <w:basedOn w:val="957"/>
    <w:next w:val="957"/>
    <w:link w:val="975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64">
    <w:name w:val="Heading 7"/>
    <w:basedOn w:val="957"/>
    <w:next w:val="957"/>
    <w:link w:val="976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65">
    <w:name w:val="Heading 8"/>
    <w:basedOn w:val="957"/>
    <w:next w:val="957"/>
    <w:link w:val="977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66">
    <w:name w:val="Heading 9"/>
    <w:basedOn w:val="957"/>
    <w:next w:val="957"/>
    <w:link w:val="978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67" w:default="1">
    <w:name w:val="Default Paragraph Font"/>
    <w:uiPriority w:val="1"/>
    <w:semiHidden/>
    <w:unhideWhenUsed/>
  </w:style>
  <w:style w:type="table" w:styleId="9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9" w:default="1">
    <w:name w:val="No List"/>
    <w:uiPriority w:val="99"/>
    <w:semiHidden/>
    <w:unhideWhenUsed/>
  </w:style>
  <w:style w:type="character" w:styleId="970" w:customStyle="1">
    <w:name w:val="Заголовок 1 Знак"/>
    <w:link w:val="958"/>
    <w:rPr>
      <w:rFonts w:ascii="Cambria" w:hAnsi="Cambria"/>
      <w:b/>
      <w:bCs/>
      <w:sz w:val="32"/>
      <w:szCs w:val="32"/>
    </w:rPr>
  </w:style>
  <w:style w:type="character" w:styleId="971" w:customStyle="1">
    <w:name w:val="Заголовок 2 Знак"/>
    <w:link w:val="959"/>
    <w:rPr>
      <w:rFonts w:ascii="Cambria" w:hAnsi="Cambria"/>
      <w:b/>
      <w:bCs/>
      <w:i/>
      <w:iCs/>
      <w:sz w:val="28"/>
      <w:szCs w:val="28"/>
    </w:rPr>
  </w:style>
  <w:style w:type="character" w:styleId="972" w:customStyle="1">
    <w:name w:val="Заголовок 3 Знак"/>
    <w:link w:val="960"/>
    <w:uiPriority w:val="9"/>
    <w:rPr>
      <w:rFonts w:ascii="Cambria" w:hAnsi="Cambria"/>
      <w:b/>
      <w:bCs/>
      <w:sz w:val="26"/>
      <w:szCs w:val="26"/>
    </w:rPr>
  </w:style>
  <w:style w:type="character" w:styleId="973" w:customStyle="1">
    <w:name w:val="Заголовок 4 Знак"/>
    <w:link w:val="961"/>
    <w:uiPriority w:val="9"/>
    <w:rPr>
      <w:rFonts w:ascii="Calibri" w:hAnsi="Calibri"/>
      <w:b/>
      <w:bCs/>
      <w:sz w:val="28"/>
      <w:szCs w:val="28"/>
    </w:rPr>
  </w:style>
  <w:style w:type="character" w:styleId="974" w:customStyle="1">
    <w:name w:val="Заголовок 5 Знак"/>
    <w:link w:val="962"/>
    <w:uiPriority w:val="9"/>
    <w:rPr>
      <w:rFonts w:ascii="Calibri" w:hAnsi="Calibri"/>
      <w:b/>
      <w:bCs/>
      <w:i/>
      <w:iCs/>
      <w:sz w:val="26"/>
      <w:szCs w:val="26"/>
    </w:rPr>
  </w:style>
  <w:style w:type="character" w:styleId="975" w:customStyle="1">
    <w:name w:val="Заголовок 6 Знак"/>
    <w:link w:val="963"/>
    <w:uiPriority w:val="9"/>
    <w:rPr>
      <w:rFonts w:ascii="Calibri" w:hAnsi="Calibri"/>
      <w:b/>
      <w:bCs/>
    </w:rPr>
  </w:style>
  <w:style w:type="character" w:styleId="976" w:customStyle="1">
    <w:name w:val="Заголовок 7 Знак"/>
    <w:link w:val="964"/>
    <w:uiPriority w:val="9"/>
    <w:rPr>
      <w:rFonts w:ascii="Calibri" w:hAnsi="Calibri"/>
      <w:sz w:val="24"/>
      <w:szCs w:val="24"/>
    </w:rPr>
  </w:style>
  <w:style w:type="character" w:styleId="977" w:customStyle="1">
    <w:name w:val="Заголовок 8 Знак"/>
    <w:link w:val="965"/>
    <w:uiPriority w:val="9"/>
    <w:rPr>
      <w:rFonts w:ascii="Calibri" w:hAnsi="Calibri"/>
      <w:i/>
      <w:iCs/>
      <w:sz w:val="24"/>
      <w:szCs w:val="24"/>
    </w:rPr>
  </w:style>
  <w:style w:type="character" w:styleId="978" w:customStyle="1">
    <w:name w:val="Заголовок 9 Знак"/>
    <w:link w:val="966"/>
    <w:uiPriority w:val="9"/>
    <w:rPr>
      <w:rFonts w:ascii="Cambria" w:hAnsi="Cambria"/>
    </w:rPr>
  </w:style>
  <w:style w:type="paragraph" w:styleId="979">
    <w:name w:val="Balloon Text"/>
    <w:basedOn w:val="957"/>
    <w:link w:val="980"/>
    <w:uiPriority w:val="99"/>
    <w:semiHidden/>
    <w:rPr>
      <w:rFonts w:ascii="Tahoma" w:hAnsi="Tahoma"/>
      <w:sz w:val="16"/>
      <w:szCs w:val="16"/>
    </w:rPr>
  </w:style>
  <w:style w:type="character" w:styleId="980" w:customStyle="1">
    <w:name w:val="Текст выноски Знак"/>
    <w:link w:val="979"/>
    <w:uiPriority w:val="99"/>
    <w:semiHidden/>
    <w:rPr>
      <w:rFonts w:ascii="Tahoma" w:hAnsi="Tahoma" w:cs="Tahoma"/>
      <w:sz w:val="16"/>
      <w:szCs w:val="16"/>
    </w:rPr>
  </w:style>
  <w:style w:type="paragraph" w:styleId="981">
    <w:name w:val="Header"/>
    <w:basedOn w:val="957"/>
    <w:link w:val="982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982" w:customStyle="1">
    <w:name w:val="Верхний колонтитул Знак"/>
    <w:link w:val="981"/>
    <w:uiPriority w:val="99"/>
    <w:rPr>
      <w:sz w:val="28"/>
      <w:szCs w:val="28"/>
    </w:rPr>
  </w:style>
  <w:style w:type="paragraph" w:styleId="983">
    <w:name w:val="Footer"/>
    <w:basedOn w:val="957"/>
    <w:link w:val="984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984" w:customStyle="1">
    <w:name w:val="Нижний колонтитул Знак"/>
    <w:link w:val="983"/>
    <w:uiPriority w:val="99"/>
    <w:rPr>
      <w:sz w:val="28"/>
      <w:szCs w:val="28"/>
    </w:rPr>
  </w:style>
  <w:style w:type="character" w:styleId="985">
    <w:name w:val="Hyperlink"/>
    <w:uiPriority w:val="99"/>
    <w:rPr>
      <w:color w:val="0000ff"/>
      <w:u w:val="single"/>
    </w:rPr>
  </w:style>
  <w:style w:type="character" w:styleId="986">
    <w:name w:val="footnote reference"/>
    <w:uiPriority w:val="99"/>
    <w:rPr>
      <w:vertAlign w:val="superscript"/>
    </w:rPr>
  </w:style>
  <w:style w:type="character" w:styleId="987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988">
    <w:name w:val="toc 1"/>
    <w:basedOn w:val="957"/>
    <w:next w:val="957"/>
    <w:uiPriority w:val="3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989">
    <w:name w:val="toc 2"/>
    <w:basedOn w:val="957"/>
    <w:next w:val="957"/>
    <w:uiPriority w:val="3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990">
    <w:name w:val="toc 3"/>
    <w:basedOn w:val="957"/>
    <w:next w:val="957"/>
    <w:uiPriority w:val="3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991">
    <w:name w:val="toc 4"/>
    <w:basedOn w:val="957"/>
    <w:next w:val="957"/>
    <w:uiPriority w:val="3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992">
    <w:name w:val="FollowedHyperlink"/>
    <w:uiPriority w:val="99"/>
    <w:rPr>
      <w:color w:val="800080"/>
      <w:u w:val="single"/>
    </w:rPr>
  </w:style>
  <w:style w:type="paragraph" w:styleId="993">
    <w:name w:val="Document Map"/>
    <w:basedOn w:val="957"/>
    <w:link w:val="994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994" w:customStyle="1">
    <w:name w:val="Схема документа Знак"/>
    <w:link w:val="993"/>
    <w:uiPriority w:val="99"/>
    <w:semiHidden/>
    <w:rPr>
      <w:rFonts w:ascii="Tahoma" w:hAnsi="Tahoma" w:cs="Tahoma"/>
      <w:sz w:val="16"/>
      <w:szCs w:val="16"/>
    </w:rPr>
  </w:style>
  <w:style w:type="paragraph" w:styleId="995" w:customStyle="1">
    <w:name w:val="Таблица шапка"/>
    <w:basedOn w:val="957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996">
    <w:name w:val="footnote text"/>
    <w:basedOn w:val="957"/>
    <w:link w:val="997"/>
    <w:uiPriority w:val="99"/>
    <w:semiHidden/>
    <w:pPr>
      <w:spacing w:line="240" w:lineRule="auto"/>
    </w:pPr>
    <w:rPr>
      <w:sz w:val="20"/>
      <w:szCs w:val="20"/>
    </w:rPr>
  </w:style>
  <w:style w:type="character" w:styleId="997" w:customStyle="1">
    <w:name w:val="Текст сноски Знак"/>
    <w:link w:val="996"/>
    <w:uiPriority w:val="99"/>
    <w:semiHidden/>
    <w:rPr>
      <w:sz w:val="20"/>
      <w:szCs w:val="20"/>
    </w:rPr>
  </w:style>
  <w:style w:type="paragraph" w:styleId="998" w:customStyle="1">
    <w:name w:val="Таблица текст"/>
    <w:basedOn w:val="957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999">
    <w:name w:val="Caption"/>
    <w:basedOn w:val="957"/>
    <w:next w:val="957"/>
    <w:link w:val="826"/>
    <w:uiPriority w:val="35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00">
    <w:name w:val="toc 5"/>
    <w:basedOn w:val="957"/>
    <w:next w:val="957"/>
    <w:uiPriority w:val="39"/>
    <w:semiHidden/>
    <w:pPr>
      <w:ind w:left="1120"/>
      <w:jc w:val="left"/>
    </w:pPr>
    <w:rPr>
      <w:sz w:val="18"/>
      <w:szCs w:val="18"/>
    </w:rPr>
  </w:style>
  <w:style w:type="paragraph" w:styleId="1001">
    <w:name w:val="toc 6"/>
    <w:basedOn w:val="957"/>
    <w:next w:val="957"/>
    <w:uiPriority w:val="39"/>
    <w:semiHidden/>
    <w:pPr>
      <w:ind w:left="1400"/>
      <w:jc w:val="left"/>
    </w:pPr>
    <w:rPr>
      <w:sz w:val="18"/>
      <w:szCs w:val="18"/>
    </w:rPr>
  </w:style>
  <w:style w:type="paragraph" w:styleId="1002">
    <w:name w:val="toc 7"/>
    <w:basedOn w:val="957"/>
    <w:next w:val="957"/>
    <w:uiPriority w:val="39"/>
    <w:semiHidden/>
    <w:pPr>
      <w:ind w:left="1680"/>
      <w:jc w:val="left"/>
    </w:pPr>
    <w:rPr>
      <w:sz w:val="18"/>
      <w:szCs w:val="18"/>
    </w:rPr>
  </w:style>
  <w:style w:type="paragraph" w:styleId="1003">
    <w:name w:val="toc 8"/>
    <w:basedOn w:val="957"/>
    <w:next w:val="957"/>
    <w:uiPriority w:val="39"/>
    <w:semiHidden/>
    <w:pPr>
      <w:ind w:left="1960"/>
      <w:jc w:val="left"/>
    </w:pPr>
    <w:rPr>
      <w:sz w:val="18"/>
      <w:szCs w:val="18"/>
    </w:rPr>
  </w:style>
  <w:style w:type="paragraph" w:styleId="1004">
    <w:name w:val="toc 9"/>
    <w:basedOn w:val="957"/>
    <w:next w:val="957"/>
    <w:uiPriority w:val="39"/>
    <w:semiHidden/>
    <w:pPr>
      <w:ind w:left="2240"/>
      <w:jc w:val="left"/>
    </w:pPr>
    <w:rPr>
      <w:sz w:val="18"/>
      <w:szCs w:val="18"/>
    </w:rPr>
  </w:style>
  <w:style w:type="paragraph" w:styleId="1005" w:customStyle="1">
    <w:name w:val="маркированный"/>
    <w:basedOn w:val="957"/>
    <w:uiPriority w:val="99"/>
    <w:pPr>
      <w:ind w:firstLine="0"/>
    </w:pPr>
  </w:style>
  <w:style w:type="paragraph" w:styleId="1006" w:customStyle="1">
    <w:name w:val="Пункт"/>
    <w:basedOn w:val="957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07" w:customStyle="1">
    <w:name w:val="Пункт Знак"/>
    <w:rPr>
      <w:sz w:val="28"/>
      <w:szCs w:val="28"/>
      <w:lang w:val="ru-RU" w:eastAsia="ru-RU"/>
    </w:rPr>
  </w:style>
  <w:style w:type="paragraph" w:styleId="1008" w:customStyle="1">
    <w:name w:val="Подпункт"/>
    <w:basedOn w:val="1006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09" w:customStyle="1">
    <w:name w:val="Подпункт Знак"/>
    <w:uiPriority w:val="99"/>
  </w:style>
  <w:style w:type="character" w:styleId="1010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11" w:customStyle="1">
    <w:name w:val="Пункт-2"/>
    <w:basedOn w:val="1006"/>
    <w:uiPriority w:val="99"/>
    <w:pPr>
      <w:keepNext/>
      <w:outlineLvl w:val="2"/>
    </w:pPr>
    <w:rPr>
      <w:b/>
      <w:bCs/>
    </w:rPr>
  </w:style>
  <w:style w:type="paragraph" w:styleId="1012" w:customStyle="1">
    <w:name w:val="Подподпункт"/>
    <w:basedOn w:val="1008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13">
    <w:name w:val="List Number"/>
    <w:basedOn w:val="957"/>
    <w:uiPriority w:val="99"/>
    <w:pPr>
      <w:ind w:firstLine="0"/>
      <w:spacing w:before="60"/>
    </w:pPr>
  </w:style>
  <w:style w:type="paragraph" w:styleId="1014" w:customStyle="1">
    <w:name w:val="Текст таблицы"/>
    <w:basedOn w:val="957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15" w:customStyle="1">
    <w:name w:val="Пункт б/н"/>
    <w:basedOn w:val="957"/>
    <w:uiPriority w:val="99"/>
    <w:pPr>
      <w:tabs>
        <w:tab w:val="left" w:pos="1134" w:leader="none"/>
      </w:tabs>
    </w:pPr>
  </w:style>
  <w:style w:type="paragraph" w:styleId="1016">
    <w:name w:val="List Bullet"/>
    <w:basedOn w:val="957"/>
    <w:pPr>
      <w:ind w:firstLine="0"/>
    </w:pPr>
  </w:style>
  <w:style w:type="paragraph" w:styleId="1017">
    <w:name w:val="Body Text 2"/>
    <w:basedOn w:val="957"/>
    <w:link w:val="1018"/>
    <w:uiPriority w:val="99"/>
    <w:pPr>
      <w:ind w:left="5760" w:firstLine="0"/>
      <w:jc w:val="left"/>
      <w:spacing w:line="240" w:lineRule="auto"/>
    </w:pPr>
  </w:style>
  <w:style w:type="character" w:styleId="1018" w:customStyle="1">
    <w:name w:val="Основной текст 2 Знак"/>
    <w:link w:val="1017"/>
    <w:uiPriority w:val="99"/>
    <w:semiHidden/>
    <w:rPr>
      <w:sz w:val="28"/>
      <w:szCs w:val="28"/>
    </w:rPr>
  </w:style>
  <w:style w:type="paragraph" w:styleId="1019">
    <w:name w:val="annotation text"/>
    <w:basedOn w:val="957"/>
    <w:link w:val="1023"/>
    <w:semiHidden/>
    <w:rPr>
      <w:sz w:val="20"/>
      <w:szCs w:val="20"/>
    </w:rPr>
  </w:style>
  <w:style w:type="character" w:styleId="1020">
    <w:name w:val="annotation reference"/>
    <w:semiHidden/>
    <w:rPr>
      <w:sz w:val="16"/>
    </w:rPr>
  </w:style>
  <w:style w:type="paragraph" w:styleId="1021" w:customStyle="1">
    <w:name w:val="Пункт_3"/>
    <w:basedOn w:val="957"/>
    <w:uiPriority w:val="99"/>
    <w:pPr>
      <w:ind w:firstLine="0"/>
      <w:spacing w:line="240" w:lineRule="auto"/>
    </w:pPr>
  </w:style>
  <w:style w:type="paragraph" w:styleId="1022">
    <w:name w:val="annotation subject"/>
    <w:basedOn w:val="1019"/>
    <w:next w:val="1019"/>
    <w:link w:val="1024"/>
    <w:uiPriority w:val="99"/>
    <w:semiHidden/>
    <w:unhideWhenUsed/>
    <w:rPr>
      <w:b/>
      <w:bCs/>
    </w:rPr>
  </w:style>
  <w:style w:type="character" w:styleId="1023" w:customStyle="1">
    <w:name w:val="Текст примечания Знак"/>
    <w:basedOn w:val="967"/>
    <w:link w:val="1019"/>
    <w:semiHidden/>
  </w:style>
  <w:style w:type="character" w:styleId="1024" w:customStyle="1">
    <w:name w:val="Тема примечания Знак"/>
    <w:link w:val="1022"/>
    <w:uiPriority w:val="99"/>
    <w:semiHidden/>
    <w:rPr>
      <w:b/>
      <w:bCs/>
    </w:rPr>
  </w:style>
  <w:style w:type="paragraph" w:styleId="1025">
    <w:name w:val="List Paragraph"/>
    <w:basedOn w:val="957"/>
    <w:link w:val="1040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26">
    <w:name w:val="Normal (Web)"/>
    <w:basedOn w:val="957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27">
    <w:name w:val="Body Text"/>
    <w:basedOn w:val="957"/>
    <w:link w:val="1028"/>
    <w:uiPriority w:val="99"/>
    <w:semiHidden/>
    <w:unhideWhenUsed/>
    <w:pPr>
      <w:spacing w:after="120"/>
    </w:pPr>
  </w:style>
  <w:style w:type="character" w:styleId="1028" w:customStyle="1">
    <w:name w:val="Основной текст Знак"/>
    <w:link w:val="1027"/>
    <w:uiPriority w:val="99"/>
    <w:semiHidden/>
    <w:rPr>
      <w:sz w:val="28"/>
      <w:szCs w:val="28"/>
    </w:rPr>
  </w:style>
  <w:style w:type="paragraph" w:styleId="1029">
    <w:name w:val="Title"/>
    <w:basedOn w:val="957"/>
    <w:link w:val="1030"/>
    <w:uiPriority w:val="10"/>
    <w:qFormat/>
    <w:pPr>
      <w:ind w:firstLine="0"/>
      <w:jc w:val="center"/>
      <w:spacing w:line="240" w:lineRule="auto"/>
    </w:pPr>
    <w:rPr>
      <w:b/>
      <w:szCs w:val="20"/>
    </w:rPr>
  </w:style>
  <w:style w:type="character" w:styleId="1030" w:customStyle="1">
    <w:name w:val="Заголовок Знак"/>
    <w:link w:val="1029"/>
    <w:rPr>
      <w:b/>
      <w:sz w:val="28"/>
    </w:rPr>
  </w:style>
  <w:style w:type="paragraph" w:styleId="1031">
    <w:name w:val="Revision"/>
    <w:hidden/>
    <w:uiPriority w:val="99"/>
    <w:semiHidden/>
    <w:rPr>
      <w:sz w:val="28"/>
      <w:szCs w:val="28"/>
    </w:rPr>
  </w:style>
  <w:style w:type="character" w:styleId="1032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33">
    <w:name w:val="endnote text"/>
    <w:basedOn w:val="957"/>
    <w:link w:val="1034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34" w:customStyle="1">
    <w:name w:val="Текст концевой сноски Знак"/>
    <w:basedOn w:val="967"/>
    <w:link w:val="1033"/>
    <w:uiPriority w:val="99"/>
    <w:rPr>
      <w:bCs/>
      <w:lang w:eastAsia="ar-SA"/>
    </w:rPr>
  </w:style>
  <w:style w:type="character" w:styleId="1035">
    <w:name w:val="endnote reference"/>
    <w:basedOn w:val="967"/>
    <w:uiPriority w:val="99"/>
    <w:semiHidden/>
    <w:unhideWhenUsed/>
    <w:rPr>
      <w:vertAlign w:val="superscript"/>
    </w:rPr>
  </w:style>
  <w:style w:type="character" w:styleId="1036" w:customStyle="1">
    <w:name w:val="FTN _коммСтиль курсив Узор: Нет (Светло-желтый)"/>
    <w:rPr>
      <w:bCs/>
      <w:i/>
      <w:iCs/>
      <w:sz w:val="24"/>
      <w:szCs w:val="24"/>
      <w:shd w:val="clear" w:color="auto" w:fill="ffff99"/>
      <w:lang w:eastAsia="ar-SA"/>
    </w:rPr>
  </w:style>
  <w:style w:type="paragraph" w:styleId="1037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38">
    <w:name w:val="No Spacing"/>
    <w:link w:val="1039"/>
    <w:uiPriority w:val="1"/>
    <w:qFormat/>
    <w:pPr>
      <w:ind w:firstLine="567"/>
      <w:jc w:val="both"/>
    </w:pPr>
    <w:rPr>
      <w:sz w:val="28"/>
      <w:szCs w:val="28"/>
    </w:rPr>
  </w:style>
  <w:style w:type="character" w:styleId="1039" w:customStyle="1">
    <w:name w:val="Без интервала Знак"/>
    <w:link w:val="1038"/>
    <w:uiPriority w:val="1"/>
    <w:rPr>
      <w:sz w:val="28"/>
      <w:szCs w:val="28"/>
    </w:rPr>
  </w:style>
  <w:style w:type="character" w:styleId="1040" w:customStyle="1">
    <w:name w:val="Абзац списка Знак"/>
    <w:basedOn w:val="967"/>
    <w:link w:val="1025"/>
    <w:uiPriority w:val="34"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hyperlink" Target="mailto:Lebedkina-AN@rosseti-ural.ru" TargetMode="External"/><Relationship Id="rId15" Type="http://schemas.openxmlformats.org/officeDocument/2006/relationships/hyperlink" Target="mailto:Ronzhin-AV@rosseti-ural.ru" TargetMode="External"/><Relationship Id="rId16" Type="http://schemas.openxmlformats.org/officeDocument/2006/relationships/hyperlink" Target="https://tender.lot-online.ru" TargetMode="External"/><Relationship Id="rId17" Type="http://schemas.openxmlformats.org/officeDocument/2006/relationships/image" Target="media/image1.emf"/><Relationship Id="rId18" Type="http://schemas.openxmlformats.org/officeDocument/2006/relationships/oleObject" Target="embeddings/oleObject1.bin"/><Relationship Id="rId19" Type="http://schemas.openxmlformats.org/officeDocument/2006/relationships/hyperlink" Target="http://www.rosseti.ru/about/contacts/opinion/" TargetMode="External"/><Relationship Id="rId20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Р7-Офис/2026.2.2.2683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36</cp:revision>
  <dcterms:created xsi:type="dcterms:W3CDTF">2025-01-16T03:18:00Z</dcterms:created>
  <dcterms:modified xsi:type="dcterms:W3CDTF">2026-09-03T04:15:46Z</dcterms:modified>
</cp:coreProperties>
</file>